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1pxezwc"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Granite Mountain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Granite Mountain adheres to the requirements set out in Manitoba's Workplace Safety and Health Act and Regulation (the Act),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Granite Mountain;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Manitoba’s Workplace Safety and Health Act and Regulation (the Act).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Granite Mountain, we look forward to working together as the great team we are to do just that.</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6">
      <w:pPr>
        <w:spacing w:line="240" w:lineRule="auto"/>
        <w:rPr>
          <w:rFonts w:ascii="Helvetica Neue" w:cs="Helvetica Neue" w:eastAsia="Helvetica Neue" w:hAnsi="Helvetica Neue"/>
        </w:rPr>
      </w:pPr>
      <w:r w:rsidDel="00000000" w:rsidR="00000000" w:rsidRPr="00000000">
        <w:rPr>
          <w:rFonts w:ascii="Calibri" w:cs="Calibri" w:eastAsia="Calibri" w:hAnsi="Calibri"/>
          <w:rtl w:val="0"/>
        </w:rPr>
        <w:t xml:space="preserve">President and CEO, Brent Charles</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highlight w:val="yellow"/>
          <w:rtl w:val="0"/>
        </w:rPr>
        <w:t xml:space="preserve">Date</w:t>
      </w:r>
      <w:r w:rsidDel="00000000" w:rsidR="00000000" w:rsidRPr="00000000">
        <w:rPr>
          <w:rtl w:val="0"/>
        </w:rPr>
      </w:r>
    </w:p>
    <w:p w:rsidR="00000000" w:rsidDel="00000000" w:rsidP="00000000" w:rsidRDefault="00000000" w:rsidRPr="00000000" w14:paraId="00000017">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614363" cy="6143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4363"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tabs>
        <w:tab w:val="center" w:leader="none" w:pos="4680"/>
        <w:tab w:val="right" w:leader="none" w:pos="9360"/>
      </w:tabs>
      <w:spacing w:line="240" w:lineRule="auto"/>
      <w:rPr>
        <w:rFonts w:ascii="Helvetica Neue" w:cs="Helvetica Neue" w:eastAsia="Helvetica Neue" w:hAnsi="Helvetica Neue"/>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